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38" w:rsidRDefault="00076E8A">
      <w:pPr>
        <w:spacing w:line="360" w:lineRule="auto"/>
        <w:jc w:val="center"/>
        <w:rPr>
          <w:rFonts w:ascii="Verdana" w:hAnsi="Verdana" w:cs="Verdana"/>
          <w:b/>
          <w:bCs/>
          <w:sz w:val="18"/>
          <w:szCs w:val="18"/>
        </w:rPr>
      </w:pPr>
      <w:bookmarkStart w:id="0" w:name="_GoBack"/>
      <w:bookmarkEnd w:id="0"/>
      <w:r>
        <w:rPr>
          <w:rFonts w:ascii="Verdana" w:hAnsi="Verdana" w:cs="Verdana"/>
          <w:b/>
          <w:bCs/>
          <w:noProof/>
          <w:sz w:val="18"/>
          <w:szCs w:val="18"/>
          <w:lang w:eastAsia="en-US" w:bidi="ar-SA"/>
        </w:rPr>
        <w:drawing>
          <wp:anchor distT="0" distB="3175" distL="0" distR="635" simplePos="0" relativeHeight="2" behindDoc="1" locked="0" layoutInCell="1" allowOverlap="1">
            <wp:simplePos x="0" y="0"/>
            <wp:positionH relativeFrom="column">
              <wp:posOffset>-40005</wp:posOffset>
            </wp:positionH>
            <wp:positionV relativeFrom="paragraph">
              <wp:posOffset>-230505</wp:posOffset>
            </wp:positionV>
            <wp:extent cx="1104265" cy="377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104265" cy="377825"/>
                    </a:xfrm>
                    <a:prstGeom prst="rect">
                      <a:avLst/>
                    </a:prstGeom>
                  </pic:spPr>
                </pic:pic>
              </a:graphicData>
            </a:graphic>
          </wp:anchor>
        </w:drawing>
      </w:r>
      <w:r>
        <w:rPr>
          <w:rFonts w:ascii="Verdana" w:hAnsi="Verdana" w:cs="Verdana"/>
          <w:b/>
          <w:bCs/>
          <w:noProof/>
          <w:sz w:val="18"/>
          <w:szCs w:val="18"/>
          <w:lang w:eastAsia="en-US" w:bidi="ar-SA"/>
        </w:rPr>
        <w:drawing>
          <wp:anchor distT="0" distB="0" distL="114935" distR="116205" simplePos="0" relativeHeight="3" behindDoc="1" locked="0" layoutInCell="1" allowOverlap="1">
            <wp:simplePos x="0" y="0"/>
            <wp:positionH relativeFrom="column">
              <wp:posOffset>4984750</wp:posOffset>
            </wp:positionH>
            <wp:positionV relativeFrom="paragraph">
              <wp:posOffset>-500380</wp:posOffset>
            </wp:positionV>
            <wp:extent cx="779780" cy="765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tretch>
                      <a:fillRect/>
                    </a:stretch>
                  </pic:blipFill>
                  <pic:spPr bwMode="auto">
                    <a:xfrm>
                      <a:off x="0" y="0"/>
                      <a:ext cx="779780" cy="765175"/>
                    </a:xfrm>
                    <a:prstGeom prst="rect">
                      <a:avLst/>
                    </a:prstGeom>
                  </pic:spPr>
                </pic:pic>
              </a:graphicData>
            </a:graphic>
          </wp:anchor>
        </w:drawing>
      </w:r>
    </w:p>
    <w:p w:rsidR="00900438" w:rsidRDefault="00900438">
      <w:pPr>
        <w:spacing w:line="360" w:lineRule="auto"/>
        <w:jc w:val="center"/>
        <w:rPr>
          <w:rFonts w:ascii="Verdana" w:hAnsi="Verdana" w:cs="Verdana"/>
          <w:b/>
          <w:bCs/>
          <w:sz w:val="18"/>
          <w:szCs w:val="18"/>
        </w:rPr>
      </w:pPr>
    </w:p>
    <w:p w:rsidR="00900438" w:rsidRDefault="00900438">
      <w:pPr>
        <w:spacing w:line="360" w:lineRule="auto"/>
        <w:jc w:val="center"/>
        <w:rPr>
          <w:rFonts w:ascii="Verdana" w:hAnsi="Verdana" w:cs="Verdana"/>
          <w:b/>
          <w:bCs/>
          <w:sz w:val="18"/>
          <w:szCs w:val="18"/>
        </w:rPr>
      </w:pPr>
    </w:p>
    <w:p w:rsidR="00900438" w:rsidRDefault="00076E8A">
      <w:pPr>
        <w:spacing w:line="360" w:lineRule="auto"/>
        <w:jc w:val="center"/>
        <w:rPr>
          <w:rFonts w:ascii="Verdana" w:hAnsi="Verdana" w:cs="Verdana"/>
          <w:b/>
          <w:bCs/>
          <w:sz w:val="20"/>
          <w:szCs w:val="18"/>
        </w:rPr>
      </w:pPr>
      <w:r>
        <w:rPr>
          <w:rFonts w:ascii="Verdana" w:hAnsi="Verdana" w:cs="Verdana"/>
          <w:b/>
          <w:bCs/>
          <w:sz w:val="20"/>
          <w:szCs w:val="18"/>
        </w:rPr>
        <w:t>BDO and American Express Introduce the BDO American Express</w:t>
      </w:r>
      <w:r>
        <w:rPr>
          <w:rFonts w:ascii="Verdana" w:hAnsi="Verdana" w:cs="Verdana"/>
          <w:b/>
          <w:bCs/>
          <w:sz w:val="20"/>
          <w:szCs w:val="18"/>
          <w:vertAlign w:val="superscript"/>
        </w:rPr>
        <w:t>®</w:t>
      </w:r>
      <w:r>
        <w:rPr>
          <w:rFonts w:ascii="Verdana" w:hAnsi="Verdana" w:cs="Verdana"/>
          <w:b/>
          <w:bCs/>
          <w:sz w:val="20"/>
          <w:szCs w:val="18"/>
        </w:rPr>
        <w:t xml:space="preserve"> Virtual Card for Online Shopping</w:t>
      </w:r>
    </w:p>
    <w:p w:rsidR="00900438" w:rsidRDefault="00900438">
      <w:pPr>
        <w:spacing w:line="360" w:lineRule="auto"/>
        <w:jc w:val="center"/>
        <w:rPr>
          <w:rFonts w:ascii="Verdana" w:hAnsi="Verdana" w:cs="Verdana"/>
          <w:b/>
          <w:bCs/>
          <w:sz w:val="18"/>
          <w:szCs w:val="18"/>
        </w:rPr>
      </w:pPr>
    </w:p>
    <w:p w:rsidR="00900438" w:rsidRDefault="00076E8A">
      <w:pPr>
        <w:spacing w:line="360" w:lineRule="auto"/>
        <w:jc w:val="both"/>
      </w:pPr>
      <w:r>
        <w:rPr>
          <w:rFonts w:ascii="Verdana" w:hAnsi="Verdana" w:cs="Verdana"/>
          <w:i/>
          <w:iCs/>
          <w:sz w:val="18"/>
          <w:szCs w:val="18"/>
        </w:rPr>
        <w:t>Manila, Philippines, 26 July 2021</w:t>
      </w:r>
      <w:r>
        <w:rPr>
          <w:rFonts w:ascii="Verdana" w:hAnsi="Verdana" w:cs="Verdana"/>
          <w:sz w:val="18"/>
          <w:szCs w:val="18"/>
        </w:rPr>
        <w:t xml:space="preserve"> – As more consumers shop online for everything, from food delivery to groceries and entertainment, they expect more flexibility, convenience, and greater control on their online spending. Recognizing these emerging needs, American Express and BDO are laun</w:t>
      </w:r>
      <w:r>
        <w:rPr>
          <w:rFonts w:ascii="Verdana" w:hAnsi="Verdana" w:cs="Verdana"/>
          <w:sz w:val="18"/>
          <w:szCs w:val="18"/>
        </w:rPr>
        <w:t>ching the BDO American Express Virtual Card.</w:t>
      </w:r>
    </w:p>
    <w:p w:rsidR="00900438" w:rsidRDefault="00900438">
      <w:pPr>
        <w:spacing w:line="360" w:lineRule="auto"/>
        <w:jc w:val="both"/>
        <w:rPr>
          <w:rFonts w:ascii="Verdana" w:hAnsi="Verdana" w:cs="Verdana"/>
          <w:sz w:val="18"/>
          <w:szCs w:val="18"/>
        </w:rPr>
      </w:pPr>
    </w:p>
    <w:p w:rsidR="00900438" w:rsidRDefault="00076E8A">
      <w:pPr>
        <w:spacing w:line="360" w:lineRule="auto"/>
        <w:jc w:val="both"/>
      </w:pPr>
      <w:r>
        <w:rPr>
          <w:rFonts w:ascii="Verdana" w:hAnsi="Verdana" w:cs="Verdana"/>
          <w:sz w:val="18"/>
          <w:szCs w:val="18"/>
        </w:rPr>
        <w:t>L</w:t>
      </w:r>
      <w:bookmarkStart w:id="1" w:name="_Hlk77080574"/>
      <w:bookmarkEnd w:id="1"/>
      <w:r>
        <w:rPr>
          <w:rFonts w:ascii="Verdana" w:eastAsia="Times New Roman" w:hAnsi="Verdana" w:cs="Segoe UI"/>
          <w:kern w:val="0"/>
          <w:sz w:val="18"/>
          <w:szCs w:val="18"/>
          <w:lang w:eastAsia="en-US" w:bidi="ar-SA"/>
        </w:rPr>
        <w:t xml:space="preserve">inked to the </w:t>
      </w:r>
      <w:proofErr w:type="spellStart"/>
      <w:r>
        <w:rPr>
          <w:rFonts w:ascii="Verdana" w:eastAsia="Times New Roman" w:hAnsi="Verdana" w:cs="Segoe UI"/>
          <w:kern w:val="0"/>
          <w:sz w:val="18"/>
          <w:szCs w:val="18"/>
          <w:lang w:eastAsia="en-US" w:bidi="ar-SA"/>
        </w:rPr>
        <w:t>Cardmember’s</w:t>
      </w:r>
      <w:proofErr w:type="spellEnd"/>
      <w:r>
        <w:rPr>
          <w:rFonts w:ascii="Verdana" w:eastAsia="Times New Roman" w:hAnsi="Verdana" w:cs="Segoe UI"/>
          <w:kern w:val="0"/>
          <w:sz w:val="18"/>
          <w:szCs w:val="18"/>
          <w:lang w:eastAsia="en-US" w:bidi="ar-SA"/>
        </w:rPr>
        <w:t xml:space="preserve"> primary Card, the Virtual Card comes with its own credit card number and offers adjustable credit limit, which gives greater control over online spending and offers an additional laye</w:t>
      </w:r>
      <w:r>
        <w:rPr>
          <w:rFonts w:ascii="Verdana" w:eastAsia="Times New Roman" w:hAnsi="Verdana" w:cs="Segoe UI"/>
          <w:kern w:val="0"/>
          <w:sz w:val="18"/>
          <w:szCs w:val="18"/>
          <w:lang w:eastAsia="en-US" w:bidi="ar-SA"/>
        </w:rPr>
        <w:t xml:space="preserve">r of account information security. At the same time, </w:t>
      </w:r>
      <w:proofErr w:type="spellStart"/>
      <w:r>
        <w:rPr>
          <w:rFonts w:ascii="Verdana" w:eastAsia="Times New Roman" w:hAnsi="Verdana" w:cs="Segoe UI"/>
          <w:kern w:val="0"/>
          <w:sz w:val="18"/>
          <w:szCs w:val="18"/>
          <w:lang w:eastAsia="en-US" w:bidi="ar-SA"/>
        </w:rPr>
        <w:t>Cardmembers</w:t>
      </w:r>
      <w:proofErr w:type="spellEnd"/>
      <w:r>
        <w:rPr>
          <w:rFonts w:ascii="Verdana" w:eastAsia="Times New Roman" w:hAnsi="Verdana" w:cs="Segoe UI"/>
          <w:kern w:val="0"/>
          <w:sz w:val="18"/>
          <w:szCs w:val="18"/>
          <w:lang w:eastAsia="en-US" w:bidi="ar-SA"/>
        </w:rPr>
        <w:t xml:space="preserve"> will continue to enjoy the same benefits on their primary card when they use the new Virtual Card to shop online.</w:t>
      </w:r>
    </w:p>
    <w:p w:rsidR="00900438" w:rsidRDefault="00900438">
      <w:pPr>
        <w:spacing w:line="360" w:lineRule="auto"/>
        <w:jc w:val="both"/>
        <w:rPr>
          <w:rFonts w:ascii="Verdana" w:eastAsia="Times New Roman" w:hAnsi="Verdana" w:cs="Segoe UI"/>
          <w:kern w:val="0"/>
          <w:sz w:val="18"/>
          <w:szCs w:val="18"/>
          <w:lang w:eastAsia="en-US" w:bidi="ar-SA"/>
        </w:rPr>
      </w:pPr>
    </w:p>
    <w:p w:rsidR="00900438" w:rsidRDefault="00076E8A">
      <w:pPr>
        <w:widowControl/>
        <w:suppressAutoHyphens w:val="0"/>
        <w:spacing w:line="360" w:lineRule="auto"/>
        <w:jc w:val="both"/>
      </w:pPr>
      <w:r>
        <w:rPr>
          <w:rFonts w:ascii="Verdana" w:eastAsia="Times New Roman" w:hAnsi="Verdana" w:cs="Segoe UI"/>
          <w:kern w:val="0"/>
          <w:sz w:val="18"/>
          <w:szCs w:val="18"/>
          <w:lang w:eastAsia="en-US" w:bidi="ar-SA"/>
        </w:rPr>
        <w:t xml:space="preserve">Nannette R. </w:t>
      </w:r>
      <w:proofErr w:type="spellStart"/>
      <w:r>
        <w:rPr>
          <w:rFonts w:ascii="Verdana" w:eastAsia="Times New Roman" w:hAnsi="Verdana" w:cs="Segoe UI"/>
          <w:kern w:val="0"/>
          <w:sz w:val="18"/>
          <w:szCs w:val="18"/>
          <w:lang w:eastAsia="en-US" w:bidi="ar-SA"/>
        </w:rPr>
        <w:t>Regala</w:t>
      </w:r>
      <w:proofErr w:type="spellEnd"/>
      <w:r>
        <w:rPr>
          <w:rFonts w:ascii="Verdana" w:eastAsia="Times New Roman" w:hAnsi="Verdana" w:cs="Segoe UI"/>
          <w:kern w:val="0"/>
          <w:sz w:val="18"/>
          <w:szCs w:val="18"/>
          <w:lang w:eastAsia="en-US" w:bidi="ar-SA"/>
        </w:rPr>
        <w:t>, BDO Senior Vice President and Consumer Banking Marketing</w:t>
      </w:r>
      <w:r>
        <w:rPr>
          <w:rFonts w:ascii="Verdana" w:eastAsia="Times New Roman" w:hAnsi="Verdana" w:cs="Segoe UI"/>
          <w:kern w:val="0"/>
          <w:sz w:val="18"/>
          <w:szCs w:val="18"/>
          <w:lang w:eastAsia="en-US" w:bidi="ar-SA"/>
        </w:rPr>
        <w:t xml:space="preserve"> Head. “With the BDO American Express Virtual Card, we are offering our </w:t>
      </w:r>
      <w:proofErr w:type="spellStart"/>
      <w:r>
        <w:rPr>
          <w:rFonts w:ascii="Verdana" w:eastAsia="Times New Roman" w:hAnsi="Verdana" w:cs="Segoe UI"/>
          <w:kern w:val="0"/>
          <w:sz w:val="18"/>
          <w:szCs w:val="18"/>
          <w:lang w:eastAsia="en-US" w:bidi="ar-SA"/>
        </w:rPr>
        <w:t>Cardmembers</w:t>
      </w:r>
      <w:proofErr w:type="spellEnd"/>
      <w:r>
        <w:rPr>
          <w:rFonts w:ascii="Verdana" w:eastAsia="Times New Roman" w:hAnsi="Verdana" w:cs="Segoe UI"/>
          <w:kern w:val="0"/>
          <w:sz w:val="18"/>
          <w:szCs w:val="18"/>
          <w:lang w:eastAsia="en-US" w:bidi="ar-SA"/>
        </w:rPr>
        <w:t xml:space="preserve"> a product that addresses their reservations about online credit card payments and gives them the assurance they can shop online confidently.” </w:t>
      </w:r>
    </w:p>
    <w:p w:rsidR="00900438" w:rsidRDefault="00900438">
      <w:pPr>
        <w:widowControl/>
        <w:suppressAutoHyphens w:val="0"/>
        <w:spacing w:line="360" w:lineRule="auto"/>
        <w:jc w:val="both"/>
        <w:rPr>
          <w:rFonts w:ascii="Verdana" w:eastAsia="Times New Roman" w:hAnsi="Verdana" w:cs="Segoe UI"/>
          <w:color w:val="000000"/>
          <w:kern w:val="0"/>
          <w:sz w:val="18"/>
          <w:szCs w:val="18"/>
          <w:lang w:eastAsia="en-US" w:bidi="ar-SA"/>
        </w:rPr>
      </w:pPr>
    </w:p>
    <w:p w:rsidR="00900438" w:rsidRDefault="00076E8A">
      <w:pPr>
        <w:widowControl/>
        <w:suppressAutoHyphens w:val="0"/>
        <w:spacing w:line="360" w:lineRule="auto"/>
        <w:jc w:val="both"/>
        <w:rPr>
          <w:rFonts w:ascii="Verdana" w:eastAsia="Times New Roman" w:hAnsi="Verdana" w:cs="Segoe UI"/>
          <w:kern w:val="0"/>
          <w:sz w:val="18"/>
          <w:szCs w:val="18"/>
          <w:lang w:eastAsia="en-US" w:bidi="ar-SA"/>
        </w:rPr>
      </w:pPr>
      <w:r>
        <w:rPr>
          <w:rFonts w:ascii="Verdana" w:eastAsia="Times New Roman" w:hAnsi="Verdana" w:cs="Segoe UI"/>
          <w:kern w:val="0"/>
          <w:sz w:val="18"/>
          <w:szCs w:val="18"/>
          <w:lang w:eastAsia="en-US" w:bidi="ar-SA"/>
        </w:rPr>
        <w:t xml:space="preserve">Leveraging the exponential </w:t>
      </w:r>
      <w:r>
        <w:rPr>
          <w:rFonts w:ascii="Verdana" w:eastAsia="Times New Roman" w:hAnsi="Verdana" w:cs="Segoe UI"/>
          <w:kern w:val="0"/>
          <w:sz w:val="18"/>
          <w:szCs w:val="18"/>
          <w:lang w:eastAsia="en-US" w:bidi="ar-SA"/>
        </w:rPr>
        <w:t>growth of ecommerce, the BDO American Express Virtual Card is a timely addition to the diverse range of card products offered by BDO and American Express.</w:t>
      </w:r>
    </w:p>
    <w:p w:rsidR="00900438" w:rsidRDefault="00900438">
      <w:pPr>
        <w:widowControl/>
        <w:suppressAutoHyphens w:val="0"/>
        <w:spacing w:line="360" w:lineRule="auto"/>
        <w:jc w:val="right"/>
        <w:rPr>
          <w:rFonts w:ascii="Verdana" w:eastAsia="Times New Roman" w:hAnsi="Verdana" w:cs="Segoe UI"/>
          <w:kern w:val="0"/>
          <w:sz w:val="18"/>
          <w:szCs w:val="18"/>
          <w:lang w:eastAsia="en-US" w:bidi="ar-SA"/>
        </w:rPr>
      </w:pPr>
    </w:p>
    <w:p w:rsidR="00900438" w:rsidRDefault="00076E8A">
      <w:pPr>
        <w:spacing w:line="360" w:lineRule="auto"/>
        <w:jc w:val="both"/>
      </w:pPr>
      <w:r>
        <w:rPr>
          <w:rFonts w:ascii="Verdana" w:eastAsia="Times New Roman" w:hAnsi="Verdana" w:cs="Segoe UI"/>
          <w:kern w:val="0"/>
          <w:sz w:val="18"/>
          <w:szCs w:val="18"/>
          <w:lang w:eastAsia="en-US" w:bidi="ar-SA"/>
        </w:rPr>
        <w:t xml:space="preserve">Mr. </w:t>
      </w:r>
      <w:proofErr w:type="spellStart"/>
      <w:r>
        <w:rPr>
          <w:rFonts w:ascii="Verdana" w:eastAsia="Times New Roman" w:hAnsi="Verdana" w:cs="Segoe UI"/>
          <w:kern w:val="0"/>
          <w:sz w:val="18"/>
          <w:szCs w:val="18"/>
          <w:lang w:eastAsia="en-US" w:bidi="ar-SA"/>
        </w:rPr>
        <w:t>Sanjiv</w:t>
      </w:r>
      <w:proofErr w:type="spellEnd"/>
      <w:r>
        <w:rPr>
          <w:rFonts w:ascii="Verdana" w:eastAsia="Times New Roman" w:hAnsi="Verdana" w:cs="Segoe UI"/>
          <w:kern w:val="0"/>
          <w:sz w:val="18"/>
          <w:szCs w:val="18"/>
          <w:lang w:eastAsia="en-US" w:bidi="ar-SA"/>
        </w:rPr>
        <w:t xml:space="preserve"> Malhotra, Vice President and General Manager, Global Network Services, South East Asia an</w:t>
      </w:r>
      <w:r>
        <w:rPr>
          <w:rFonts w:ascii="Verdana" w:eastAsia="Times New Roman" w:hAnsi="Verdana" w:cs="Segoe UI"/>
          <w:kern w:val="0"/>
          <w:sz w:val="18"/>
          <w:szCs w:val="18"/>
          <w:lang w:eastAsia="en-US" w:bidi="ar-SA"/>
        </w:rPr>
        <w:t>d South Pacific, American Express, said, “Backed by American Express advanced fraud protection methods, our cards are secure. That said, we understand some customers feel more comfortable using a separate credit card number for their online transactions. W</w:t>
      </w:r>
      <w:r>
        <w:rPr>
          <w:rFonts w:ascii="Verdana" w:eastAsia="Times New Roman" w:hAnsi="Verdana" w:cs="Segoe UI"/>
          <w:kern w:val="0"/>
          <w:sz w:val="18"/>
          <w:szCs w:val="18"/>
          <w:lang w:eastAsia="en-US" w:bidi="ar-SA"/>
        </w:rPr>
        <w:t>e are always looking to expand and improve our products and services to support the evolving payment needs of our customers – and the Virtual Card does just that.”</w:t>
      </w:r>
    </w:p>
    <w:p w:rsidR="00900438" w:rsidRDefault="00900438">
      <w:pPr>
        <w:widowControl/>
        <w:suppressAutoHyphens w:val="0"/>
        <w:spacing w:line="360" w:lineRule="auto"/>
        <w:jc w:val="both"/>
        <w:rPr>
          <w:rFonts w:ascii="Verdana" w:eastAsia="Times New Roman" w:hAnsi="Verdana" w:cs="Segoe UI"/>
          <w:kern w:val="0"/>
          <w:sz w:val="18"/>
          <w:szCs w:val="18"/>
          <w:lang w:eastAsia="en-US" w:bidi="ar-SA"/>
        </w:rPr>
      </w:pPr>
    </w:p>
    <w:p w:rsidR="00900438" w:rsidRDefault="00076E8A">
      <w:pPr>
        <w:widowControl/>
        <w:suppressAutoHyphens w:val="0"/>
        <w:spacing w:line="360" w:lineRule="auto"/>
        <w:jc w:val="both"/>
      </w:pPr>
      <w:r>
        <w:rPr>
          <w:rFonts w:ascii="Verdana" w:eastAsia="Times New Roman" w:hAnsi="Verdana" w:cs="Segoe UI"/>
          <w:kern w:val="0"/>
          <w:sz w:val="18"/>
          <w:szCs w:val="18"/>
          <w:lang w:eastAsia="en-US" w:bidi="ar-SA"/>
        </w:rPr>
        <w:t xml:space="preserve">BDO American Express </w:t>
      </w:r>
      <w:proofErr w:type="spellStart"/>
      <w:r>
        <w:rPr>
          <w:rFonts w:ascii="Verdana" w:eastAsia="Times New Roman" w:hAnsi="Verdana" w:cs="Segoe UI"/>
          <w:kern w:val="0"/>
          <w:sz w:val="18"/>
          <w:szCs w:val="18"/>
          <w:lang w:eastAsia="en-US" w:bidi="ar-SA"/>
        </w:rPr>
        <w:t>Cardmembers</w:t>
      </w:r>
      <w:proofErr w:type="spellEnd"/>
      <w:r>
        <w:rPr>
          <w:rFonts w:ascii="Verdana" w:eastAsia="Times New Roman" w:hAnsi="Verdana" w:cs="Segoe UI"/>
          <w:kern w:val="0"/>
          <w:sz w:val="18"/>
          <w:szCs w:val="18"/>
          <w:lang w:eastAsia="en-US" w:bidi="ar-SA"/>
        </w:rPr>
        <w:t xml:space="preserve"> may apply for a Virtual Card, FREE of charge. With the BDO</w:t>
      </w:r>
      <w:r>
        <w:rPr>
          <w:rFonts w:ascii="Verdana" w:eastAsia="Times New Roman" w:hAnsi="Verdana" w:cs="Segoe UI"/>
          <w:kern w:val="0"/>
          <w:sz w:val="18"/>
          <w:szCs w:val="18"/>
          <w:lang w:eastAsia="en-US" w:bidi="ar-SA"/>
        </w:rPr>
        <w:t xml:space="preserve"> American Express Virtual Card, </w:t>
      </w:r>
      <w:proofErr w:type="spellStart"/>
      <w:r>
        <w:rPr>
          <w:rFonts w:ascii="Verdana" w:eastAsia="Times New Roman" w:hAnsi="Verdana" w:cs="Segoe UI"/>
          <w:kern w:val="0"/>
          <w:sz w:val="18"/>
          <w:szCs w:val="18"/>
          <w:lang w:eastAsia="en-US" w:bidi="ar-SA"/>
        </w:rPr>
        <w:t>Cardmembers</w:t>
      </w:r>
      <w:proofErr w:type="spellEnd"/>
      <w:r>
        <w:rPr>
          <w:rFonts w:ascii="Verdana" w:eastAsia="Times New Roman" w:hAnsi="Verdana" w:cs="Segoe UI"/>
          <w:kern w:val="0"/>
          <w:sz w:val="18"/>
          <w:szCs w:val="18"/>
          <w:lang w:eastAsia="en-US" w:bidi="ar-SA"/>
        </w:rPr>
        <w:t xml:space="preserve"> can take advantage of the following features:</w:t>
      </w:r>
    </w:p>
    <w:p w:rsidR="00900438" w:rsidRDefault="00076E8A">
      <w:pPr>
        <w:pStyle w:val="ListParagraph"/>
        <w:widowControl/>
        <w:numPr>
          <w:ilvl w:val="0"/>
          <w:numId w:val="1"/>
        </w:numPr>
        <w:suppressAutoHyphens w:val="0"/>
        <w:spacing w:line="360" w:lineRule="auto"/>
        <w:jc w:val="both"/>
        <w:rPr>
          <w:rFonts w:ascii="Verdana" w:eastAsia="Times New Roman" w:hAnsi="Verdana" w:cs="Segoe UI"/>
          <w:kern w:val="0"/>
          <w:sz w:val="18"/>
          <w:szCs w:val="18"/>
          <w:lang w:eastAsia="en-US" w:bidi="ar-SA"/>
        </w:rPr>
      </w:pPr>
      <w:r>
        <w:rPr>
          <w:rFonts w:ascii="Verdana" w:eastAsia="Times New Roman" w:hAnsi="Verdana" w:cs="Segoe UI"/>
          <w:kern w:val="0"/>
          <w:sz w:val="18"/>
          <w:szCs w:val="18"/>
          <w:lang w:eastAsia="en-US" w:bidi="ar-SA"/>
        </w:rPr>
        <w:t xml:space="preserve">Feel more secure while shopping online </w:t>
      </w:r>
    </w:p>
    <w:p w:rsidR="00900438" w:rsidRDefault="00076E8A">
      <w:pPr>
        <w:pStyle w:val="ListParagraph"/>
        <w:widowControl/>
        <w:numPr>
          <w:ilvl w:val="0"/>
          <w:numId w:val="1"/>
        </w:numPr>
        <w:suppressAutoHyphens w:val="0"/>
        <w:spacing w:line="360" w:lineRule="auto"/>
        <w:jc w:val="both"/>
      </w:pPr>
      <w:r>
        <w:rPr>
          <w:rFonts w:ascii="Verdana" w:eastAsia="Times New Roman" w:hAnsi="Verdana" w:cs="Segoe UI"/>
          <w:kern w:val="0"/>
          <w:sz w:val="18"/>
          <w:szCs w:val="18"/>
          <w:lang w:eastAsia="en-US" w:bidi="ar-SA"/>
        </w:rPr>
        <w:t>Set a credit limit according to online purchasing needs</w:t>
      </w:r>
    </w:p>
    <w:p w:rsidR="00900438" w:rsidRDefault="00076E8A">
      <w:pPr>
        <w:pStyle w:val="ListParagraph"/>
        <w:widowControl/>
        <w:numPr>
          <w:ilvl w:val="0"/>
          <w:numId w:val="1"/>
        </w:numPr>
        <w:suppressAutoHyphens w:val="0"/>
        <w:spacing w:line="360" w:lineRule="auto"/>
        <w:jc w:val="both"/>
      </w:pPr>
      <w:r>
        <w:rPr>
          <w:rFonts w:ascii="Verdana" w:eastAsia="Times New Roman" w:hAnsi="Verdana" w:cs="Segoe UI"/>
          <w:kern w:val="0"/>
          <w:sz w:val="18"/>
          <w:szCs w:val="18"/>
          <w:lang w:eastAsia="en-US" w:bidi="ar-SA"/>
        </w:rPr>
        <w:t>Easily track online transactions</w:t>
      </w:r>
    </w:p>
    <w:p w:rsidR="00900438" w:rsidRDefault="00076E8A">
      <w:pPr>
        <w:pStyle w:val="ListParagraph"/>
        <w:widowControl/>
        <w:numPr>
          <w:ilvl w:val="0"/>
          <w:numId w:val="1"/>
        </w:numPr>
        <w:suppressAutoHyphens w:val="0"/>
        <w:spacing w:line="360" w:lineRule="auto"/>
        <w:jc w:val="both"/>
      </w:pPr>
      <w:r>
        <w:rPr>
          <w:rFonts w:ascii="Verdana" w:eastAsia="Times New Roman" w:hAnsi="Verdana" w:cs="Segoe UI"/>
          <w:kern w:val="0"/>
          <w:sz w:val="18"/>
          <w:szCs w:val="18"/>
          <w:lang w:eastAsia="en-US" w:bidi="ar-SA"/>
        </w:rPr>
        <w:t>Earn Rewards Points for every transac</w:t>
      </w:r>
      <w:r>
        <w:rPr>
          <w:rFonts w:ascii="Verdana" w:eastAsia="Times New Roman" w:hAnsi="Verdana" w:cs="Segoe UI"/>
          <w:kern w:val="0"/>
          <w:sz w:val="18"/>
          <w:szCs w:val="18"/>
          <w:lang w:eastAsia="en-US" w:bidi="ar-SA"/>
        </w:rPr>
        <w:t>tion with the same spend-to-point value as the primary credit card</w:t>
      </w:r>
    </w:p>
    <w:p w:rsidR="00900438" w:rsidRDefault="00900438">
      <w:pPr>
        <w:widowControl/>
        <w:suppressAutoHyphens w:val="0"/>
        <w:jc w:val="both"/>
        <w:rPr>
          <w:rFonts w:ascii="Verdana" w:hAnsi="Verdana" w:cs="Verdana"/>
          <w:sz w:val="18"/>
          <w:szCs w:val="18"/>
        </w:rPr>
      </w:pPr>
    </w:p>
    <w:p w:rsidR="00900438" w:rsidRDefault="00076E8A">
      <w:pPr>
        <w:widowControl/>
        <w:suppressAutoHyphens w:val="0"/>
        <w:jc w:val="both"/>
      </w:pPr>
      <w:r>
        <w:rPr>
          <w:rFonts w:ascii="Verdana" w:hAnsi="Verdana" w:cs="Verdana"/>
          <w:sz w:val="18"/>
          <w:szCs w:val="18"/>
        </w:rPr>
        <w:t xml:space="preserve">To learn more about the BDO American Express Virtual Card, visit </w:t>
      </w:r>
      <w:r>
        <w:rPr>
          <w:rFonts w:ascii="Verdana" w:hAnsi="Verdana" w:cs="Verdana"/>
          <w:i/>
          <w:color w:val="0070C0"/>
          <w:sz w:val="18"/>
          <w:szCs w:val="18"/>
        </w:rPr>
        <w:t>americanexpress.com.ph</w:t>
      </w:r>
      <w:r>
        <w:rPr>
          <w:rFonts w:ascii="Verdana" w:hAnsi="Verdana" w:cs="Verdana"/>
          <w:i/>
          <w:sz w:val="18"/>
          <w:szCs w:val="18"/>
        </w:rPr>
        <w:t>.</w:t>
      </w:r>
    </w:p>
    <w:p w:rsidR="00900438" w:rsidRDefault="00900438">
      <w:pPr>
        <w:widowControl/>
        <w:suppressAutoHyphens w:val="0"/>
        <w:spacing w:line="360" w:lineRule="auto"/>
        <w:jc w:val="both"/>
        <w:rPr>
          <w:rFonts w:ascii="Verdana" w:eastAsia="Times New Roman" w:hAnsi="Verdana" w:cs="Segoe UI"/>
          <w:kern w:val="0"/>
          <w:sz w:val="18"/>
          <w:szCs w:val="18"/>
          <w:lang w:eastAsia="en-US" w:bidi="ar-SA"/>
        </w:rPr>
      </w:pPr>
    </w:p>
    <w:p w:rsidR="00900438" w:rsidRDefault="00900438">
      <w:pPr>
        <w:widowControl/>
        <w:suppressAutoHyphens w:val="0"/>
        <w:spacing w:line="360" w:lineRule="auto"/>
        <w:jc w:val="both"/>
        <w:rPr>
          <w:rFonts w:ascii="Verdana" w:eastAsia="Times New Roman" w:hAnsi="Verdana" w:cs="Segoe UI"/>
          <w:kern w:val="0"/>
          <w:sz w:val="18"/>
          <w:szCs w:val="18"/>
          <w:lang w:eastAsia="en-US" w:bidi="ar-SA"/>
        </w:rPr>
      </w:pPr>
    </w:p>
    <w:p w:rsidR="00900438" w:rsidRDefault="00076E8A">
      <w:pPr>
        <w:jc w:val="center"/>
        <w:rPr>
          <w:rFonts w:ascii="Verdana" w:hAnsi="Verdana"/>
          <w:sz w:val="18"/>
          <w:szCs w:val="18"/>
        </w:rPr>
      </w:pPr>
      <w:r>
        <w:rPr>
          <w:rFonts w:ascii="Verdana" w:hAnsi="Verdana"/>
          <w:sz w:val="18"/>
          <w:szCs w:val="18"/>
        </w:rPr>
        <w:t>* * *</w:t>
      </w:r>
    </w:p>
    <w:p w:rsidR="00900438" w:rsidRDefault="00076E8A">
      <w:pPr>
        <w:spacing w:line="360" w:lineRule="auto"/>
        <w:jc w:val="both"/>
      </w:pPr>
      <w:r>
        <w:rPr>
          <w:rFonts w:ascii="Verdana" w:eastAsia="Verdana" w:hAnsi="Verdana" w:cs="Verdana"/>
          <w:b/>
          <w:bCs/>
          <w:color w:val="000000"/>
          <w:sz w:val="18"/>
          <w:szCs w:val="18"/>
        </w:rPr>
        <w:lastRenderedPageBreak/>
        <w:t>About BDO</w:t>
      </w:r>
    </w:p>
    <w:p w:rsidR="00900438" w:rsidRDefault="00076E8A">
      <w:pPr>
        <w:spacing w:line="200" w:lineRule="atLeast"/>
        <w:jc w:val="both"/>
      </w:pPr>
      <w:r>
        <w:rPr>
          <w:rFonts w:ascii="Verdana" w:eastAsia="Arial" w:hAnsi="Verdana" w:cs="Verdana"/>
          <w:color w:val="000000"/>
          <w:sz w:val="18"/>
          <w:szCs w:val="18"/>
        </w:rPr>
        <w:t xml:space="preserve">BDO is a full-service universal bank that provides a wide range of corporate and retail banking services. These services include traditional loan and deposit products, as well as treasury, trust banking, investment banking, private banking, rural banking, </w:t>
      </w:r>
      <w:r>
        <w:rPr>
          <w:rFonts w:ascii="Verdana" w:eastAsia="Arial" w:hAnsi="Verdana" w:cs="Verdana"/>
          <w:color w:val="000000"/>
          <w:sz w:val="18"/>
          <w:szCs w:val="18"/>
        </w:rPr>
        <w:t xml:space="preserve">cash management, leasing and finance, remittance, insurance, retail cash cards, and credit card services. </w:t>
      </w:r>
    </w:p>
    <w:p w:rsidR="00900438" w:rsidRDefault="00900438">
      <w:pPr>
        <w:spacing w:line="200" w:lineRule="atLeast"/>
        <w:jc w:val="both"/>
        <w:rPr>
          <w:rFonts w:ascii="Verdana" w:eastAsia="Arial" w:hAnsi="Verdana" w:cs="Verdana"/>
          <w:color w:val="000000"/>
          <w:sz w:val="18"/>
          <w:szCs w:val="18"/>
        </w:rPr>
      </w:pPr>
    </w:p>
    <w:p w:rsidR="00900438" w:rsidRDefault="00076E8A">
      <w:pPr>
        <w:spacing w:line="200" w:lineRule="atLeast"/>
        <w:jc w:val="both"/>
      </w:pPr>
      <w:r>
        <w:rPr>
          <w:rFonts w:ascii="Verdana" w:eastAsia="Arial" w:hAnsi="Verdana" w:cs="Verdana"/>
          <w:color w:val="000000"/>
          <w:sz w:val="18"/>
          <w:szCs w:val="18"/>
        </w:rPr>
        <w:t>BDO has the country’s largest distribution network, with over 1,400 consolidated operating branches and more than 4,400 ATMs nationwide. It also has</w:t>
      </w:r>
      <w:r>
        <w:rPr>
          <w:rFonts w:ascii="Verdana" w:eastAsia="Arial" w:hAnsi="Verdana" w:cs="Verdana"/>
          <w:color w:val="000000"/>
          <w:sz w:val="18"/>
          <w:szCs w:val="18"/>
        </w:rPr>
        <w:t xml:space="preserve"> 18 overseas remittance and representative offices (including full-service branches in Hong Kong and Singapore) in Asia, Europe, North America, and the Middle East.</w:t>
      </w:r>
    </w:p>
    <w:p w:rsidR="00900438" w:rsidRDefault="00900438">
      <w:pPr>
        <w:spacing w:line="200" w:lineRule="atLeast"/>
        <w:jc w:val="both"/>
        <w:rPr>
          <w:rFonts w:ascii="Verdana" w:eastAsia="Arial" w:hAnsi="Verdana" w:cs="Verdana"/>
          <w:color w:val="000000"/>
          <w:sz w:val="18"/>
          <w:szCs w:val="18"/>
        </w:rPr>
      </w:pPr>
    </w:p>
    <w:p w:rsidR="00900438" w:rsidRDefault="00076E8A">
      <w:pPr>
        <w:spacing w:line="200" w:lineRule="atLeast"/>
        <w:jc w:val="both"/>
      </w:pPr>
      <w:r>
        <w:rPr>
          <w:rFonts w:ascii="Verdana" w:eastAsia="Verdana" w:hAnsi="Verdana" w:cs="Verdana"/>
          <w:color w:val="000000"/>
          <w:sz w:val="18"/>
          <w:szCs w:val="18"/>
        </w:rPr>
        <w:t>In the credit card industry, BDO issues the most brands in the country, including corporat</w:t>
      </w:r>
      <w:r>
        <w:rPr>
          <w:rFonts w:ascii="Verdana" w:eastAsia="Verdana" w:hAnsi="Verdana" w:cs="Verdana"/>
          <w:color w:val="000000"/>
          <w:sz w:val="18"/>
          <w:szCs w:val="18"/>
        </w:rPr>
        <w:t>e and co-branded cards.</w:t>
      </w:r>
    </w:p>
    <w:p w:rsidR="00900438" w:rsidRDefault="00900438">
      <w:pPr>
        <w:spacing w:line="200" w:lineRule="atLeast"/>
        <w:jc w:val="both"/>
        <w:rPr>
          <w:rFonts w:ascii="Verdana" w:eastAsia="Verdana" w:hAnsi="Verdana" w:cs="Verdana"/>
          <w:color w:val="000000"/>
          <w:sz w:val="18"/>
          <w:szCs w:val="18"/>
        </w:rPr>
      </w:pPr>
    </w:p>
    <w:p w:rsidR="00900438" w:rsidRDefault="00076E8A">
      <w:pPr>
        <w:spacing w:line="200" w:lineRule="atLeast"/>
        <w:jc w:val="both"/>
      </w:pPr>
      <w:r>
        <w:rPr>
          <w:rFonts w:ascii="Verdana" w:eastAsia="Verdana" w:hAnsi="Verdana" w:cs="Verdana"/>
          <w:color w:val="000000"/>
          <w:sz w:val="18"/>
          <w:szCs w:val="18"/>
        </w:rPr>
        <w:t xml:space="preserve">The bank likewise dominates the merchant acquiring business in the Philippines with BDO Point-of-Sale terminals being the only one capable of accepting seven (7) credit card brands and all locally-issued ATM/Debit cards. </w:t>
      </w:r>
    </w:p>
    <w:p w:rsidR="00900438" w:rsidRDefault="00900438">
      <w:pPr>
        <w:spacing w:line="200" w:lineRule="atLeast"/>
        <w:jc w:val="both"/>
        <w:rPr>
          <w:rFonts w:ascii="Verdana" w:eastAsia="Verdana" w:hAnsi="Verdana" w:cs="Verdana"/>
          <w:color w:val="000000"/>
          <w:sz w:val="18"/>
          <w:szCs w:val="18"/>
          <w:highlight w:val="yellow"/>
        </w:rPr>
      </w:pPr>
    </w:p>
    <w:p w:rsidR="00900438" w:rsidRDefault="00076E8A">
      <w:pPr>
        <w:spacing w:line="200" w:lineRule="atLeast"/>
        <w:jc w:val="both"/>
      </w:pPr>
      <w:r>
        <w:rPr>
          <w:rFonts w:ascii="Verdana" w:eastAsia="Verdana" w:hAnsi="Verdana" w:cs="Verdana"/>
          <w:color w:val="000000"/>
          <w:sz w:val="18"/>
          <w:szCs w:val="18"/>
        </w:rPr>
        <w:t>BDO’s di</w:t>
      </w:r>
      <w:r>
        <w:rPr>
          <w:rFonts w:ascii="Verdana" w:eastAsia="Verdana" w:hAnsi="Verdana" w:cs="Verdana"/>
          <w:color w:val="000000"/>
          <w:sz w:val="18"/>
          <w:szCs w:val="18"/>
        </w:rPr>
        <w:t>gital solutions portfolio include BDO Digital Banking and BDO Pay. BDO Digital Banking, is a multi-channel set-up that enables clients to perform banking transactions from home or on the go. Meanwhile, BDO Pay is a mobile wallet facility that allows client</w:t>
      </w:r>
      <w:r>
        <w:rPr>
          <w:rFonts w:ascii="Verdana" w:eastAsia="Verdana" w:hAnsi="Verdana" w:cs="Verdana"/>
          <w:color w:val="000000"/>
          <w:sz w:val="18"/>
          <w:szCs w:val="18"/>
        </w:rPr>
        <w:t>s to pay straight from their BDO Savings and Checking Accounts, Debit Card, or Credit Card.</w:t>
      </w:r>
    </w:p>
    <w:p w:rsidR="00900438" w:rsidRDefault="00900438">
      <w:pPr>
        <w:spacing w:line="200" w:lineRule="atLeast"/>
        <w:jc w:val="both"/>
        <w:rPr>
          <w:rFonts w:ascii="Verdana" w:eastAsia="Verdana" w:hAnsi="Verdana" w:cs="Verdana"/>
          <w:color w:val="000000"/>
          <w:sz w:val="18"/>
          <w:szCs w:val="18"/>
        </w:rPr>
      </w:pPr>
    </w:p>
    <w:p w:rsidR="00900438" w:rsidRDefault="00076E8A">
      <w:pPr>
        <w:spacing w:line="200" w:lineRule="atLeast"/>
        <w:jc w:val="both"/>
        <w:rPr>
          <w:rFonts w:ascii="Verdana" w:eastAsia="Verdana" w:hAnsi="Verdana" w:cs="Verdana"/>
          <w:color w:val="000000"/>
          <w:sz w:val="18"/>
          <w:szCs w:val="18"/>
        </w:rPr>
      </w:pPr>
      <w:r>
        <w:rPr>
          <w:rFonts w:ascii="Verdana" w:eastAsia="Verdana" w:hAnsi="Verdana" w:cs="Verdana"/>
          <w:color w:val="000000"/>
          <w:sz w:val="18"/>
          <w:szCs w:val="18"/>
        </w:rPr>
        <w:t xml:space="preserve">For more information, please visit </w:t>
      </w:r>
      <w:r>
        <w:rPr>
          <w:rFonts w:ascii="Verdana" w:eastAsia="Verdana" w:hAnsi="Verdana" w:cs="Verdana"/>
          <w:color w:val="000080"/>
          <w:sz w:val="18"/>
          <w:szCs w:val="18"/>
        </w:rPr>
        <w:t>bdo.com.ph</w:t>
      </w:r>
      <w:r>
        <w:rPr>
          <w:rFonts w:ascii="Verdana" w:eastAsia="Verdana" w:hAnsi="Verdana" w:cs="Verdana"/>
          <w:color w:val="000000"/>
          <w:sz w:val="18"/>
          <w:szCs w:val="18"/>
        </w:rPr>
        <w:t>.</w:t>
      </w:r>
    </w:p>
    <w:p w:rsidR="00900438" w:rsidRDefault="00900438">
      <w:pPr>
        <w:spacing w:line="200" w:lineRule="atLeast"/>
        <w:jc w:val="both"/>
        <w:rPr>
          <w:rFonts w:ascii="Verdana" w:eastAsia="Verdana" w:hAnsi="Verdana" w:cs="Verdana"/>
          <w:i/>
          <w:iCs/>
          <w:color w:val="000000"/>
          <w:sz w:val="18"/>
          <w:szCs w:val="18"/>
        </w:rPr>
      </w:pPr>
    </w:p>
    <w:p w:rsidR="00900438" w:rsidRDefault="00076E8A">
      <w:pPr>
        <w:spacing w:line="200" w:lineRule="atLeast"/>
        <w:rPr>
          <w:rFonts w:ascii="Verdana" w:eastAsia="Verdana" w:hAnsi="Verdana" w:cs="Verdana"/>
          <w:i/>
          <w:iCs/>
          <w:color w:val="000000"/>
          <w:sz w:val="18"/>
          <w:szCs w:val="18"/>
        </w:rPr>
      </w:pPr>
      <w:r>
        <w:rPr>
          <w:rFonts w:ascii="Verdana" w:eastAsia="Verdana" w:hAnsi="Verdana" w:cs="Verdana"/>
          <w:i/>
          <w:iCs/>
          <w:color w:val="000000"/>
          <w:sz w:val="18"/>
          <w:szCs w:val="18"/>
        </w:rPr>
        <w:t>Contact:</w:t>
      </w:r>
    </w:p>
    <w:p w:rsidR="00900438" w:rsidRDefault="00076E8A">
      <w:pPr>
        <w:spacing w:line="200" w:lineRule="atLeast"/>
        <w:rPr>
          <w:rFonts w:ascii="Verdana" w:eastAsia="Verdana" w:hAnsi="Verdana" w:cs="Verdana"/>
          <w:color w:val="000000"/>
          <w:sz w:val="18"/>
          <w:szCs w:val="18"/>
        </w:rPr>
      </w:pPr>
      <w:r>
        <w:rPr>
          <w:rFonts w:ascii="Verdana" w:eastAsia="Verdana" w:hAnsi="Verdana" w:cs="Verdana"/>
          <w:color w:val="000000"/>
          <w:sz w:val="18"/>
          <w:szCs w:val="18"/>
        </w:rPr>
        <w:t xml:space="preserve">BDO </w:t>
      </w:r>
      <w:proofErr w:type="spellStart"/>
      <w:r>
        <w:rPr>
          <w:rFonts w:ascii="Verdana" w:eastAsia="Verdana" w:hAnsi="Verdana" w:cs="Verdana"/>
          <w:color w:val="000000"/>
          <w:sz w:val="18"/>
          <w:szCs w:val="18"/>
        </w:rPr>
        <w:t>Unibank</w:t>
      </w:r>
      <w:proofErr w:type="spellEnd"/>
      <w:r>
        <w:rPr>
          <w:rFonts w:ascii="Verdana" w:eastAsia="Verdana" w:hAnsi="Verdana" w:cs="Verdana"/>
          <w:color w:val="000000"/>
          <w:sz w:val="18"/>
          <w:szCs w:val="18"/>
        </w:rPr>
        <w:t xml:space="preserve"> Inc.</w:t>
      </w:r>
    </w:p>
    <w:p w:rsidR="00900438" w:rsidRDefault="00076E8A">
      <w:pPr>
        <w:spacing w:line="200" w:lineRule="atLeast"/>
        <w:rPr>
          <w:rFonts w:ascii="Verdana" w:eastAsia="Verdana" w:hAnsi="Verdana" w:cs="Verdana"/>
          <w:color w:val="000000"/>
          <w:sz w:val="18"/>
          <w:szCs w:val="18"/>
        </w:rPr>
      </w:pPr>
      <w:r>
        <w:rPr>
          <w:rFonts w:ascii="Verdana" w:eastAsia="Verdana" w:hAnsi="Verdana" w:cs="Verdana"/>
          <w:color w:val="000000"/>
          <w:sz w:val="18"/>
          <w:szCs w:val="18"/>
        </w:rPr>
        <w:t xml:space="preserve">Liza M. </w:t>
      </w:r>
      <w:proofErr w:type="spellStart"/>
      <w:r>
        <w:rPr>
          <w:rFonts w:ascii="Verdana" w:eastAsia="Verdana" w:hAnsi="Verdana" w:cs="Verdana"/>
          <w:color w:val="000000"/>
          <w:sz w:val="18"/>
          <w:szCs w:val="18"/>
        </w:rPr>
        <w:t>Montajes</w:t>
      </w:r>
      <w:proofErr w:type="spellEnd"/>
    </w:p>
    <w:p w:rsidR="00900438" w:rsidRDefault="00076E8A">
      <w:pPr>
        <w:spacing w:line="200" w:lineRule="atLeast"/>
        <w:rPr>
          <w:rFonts w:ascii="Verdana" w:eastAsia="Verdana" w:hAnsi="Verdana" w:cs="Verdana"/>
          <w:color w:val="000000"/>
          <w:sz w:val="18"/>
          <w:szCs w:val="18"/>
        </w:rPr>
      </w:pPr>
      <w:r>
        <w:rPr>
          <w:rFonts w:ascii="Verdana" w:eastAsia="Verdana" w:hAnsi="Verdana" w:cs="Verdana"/>
          <w:color w:val="000000"/>
          <w:sz w:val="18"/>
          <w:szCs w:val="18"/>
        </w:rPr>
        <w:t>Consumer Banking Group – Marketing Services &amp; Operations Head</w:t>
      </w:r>
    </w:p>
    <w:p w:rsidR="00900438" w:rsidRDefault="00076E8A">
      <w:pPr>
        <w:spacing w:line="200" w:lineRule="atLeast"/>
        <w:rPr>
          <w:rFonts w:ascii="Verdana" w:eastAsia="Verdana" w:hAnsi="Verdana" w:cs="Verdana"/>
          <w:color w:val="000000"/>
          <w:sz w:val="18"/>
          <w:szCs w:val="18"/>
        </w:rPr>
      </w:pPr>
      <w:r>
        <w:rPr>
          <w:rFonts w:ascii="Verdana" w:eastAsia="Verdana" w:hAnsi="Verdana" w:cs="Verdana"/>
          <w:color w:val="000000"/>
          <w:sz w:val="18"/>
          <w:szCs w:val="18"/>
        </w:rPr>
        <w:t xml:space="preserve">Tel: (02) </w:t>
      </w:r>
      <w:r>
        <w:rPr>
          <w:rFonts w:ascii="Verdana" w:eastAsia="Verdana" w:hAnsi="Verdana" w:cs="Verdana"/>
          <w:color w:val="000000"/>
          <w:sz w:val="18"/>
          <w:szCs w:val="18"/>
        </w:rPr>
        <w:t>8667-1679</w:t>
      </w:r>
    </w:p>
    <w:p w:rsidR="00900438" w:rsidRDefault="00076E8A">
      <w:pPr>
        <w:spacing w:line="200" w:lineRule="atLeast"/>
      </w:pPr>
      <w:r>
        <w:rPr>
          <w:rFonts w:ascii="Verdana" w:eastAsia="Verdana" w:hAnsi="Verdana" w:cs="Verdana"/>
          <w:color w:val="000000"/>
          <w:sz w:val="18"/>
          <w:szCs w:val="18"/>
        </w:rPr>
        <w:t xml:space="preserve">Email: </w:t>
      </w:r>
      <w:hyperlink r:id="rId13">
        <w:r>
          <w:rPr>
            <w:rStyle w:val="InternetLink"/>
            <w:rFonts w:ascii="Verdana" w:hAnsi="Verdana"/>
            <w:sz w:val="18"/>
            <w:szCs w:val="18"/>
          </w:rPr>
          <w:t>montajes.liza@bdo.com.ph</w:t>
        </w:r>
      </w:hyperlink>
    </w:p>
    <w:p w:rsidR="00900438" w:rsidRDefault="00900438">
      <w:pPr>
        <w:spacing w:line="200" w:lineRule="atLeast"/>
        <w:rPr>
          <w:rFonts w:ascii="Verdana" w:hAnsi="Verdana"/>
          <w:sz w:val="18"/>
          <w:szCs w:val="18"/>
        </w:rPr>
      </w:pPr>
    </w:p>
    <w:p w:rsidR="00900438" w:rsidRDefault="00900438">
      <w:pPr>
        <w:widowControl/>
        <w:suppressAutoHyphens w:val="0"/>
        <w:spacing w:line="360" w:lineRule="auto"/>
        <w:jc w:val="both"/>
        <w:rPr>
          <w:rFonts w:ascii="Verdana" w:eastAsia="Times New Roman" w:hAnsi="Verdana" w:cs="Segoe UI"/>
          <w:kern w:val="0"/>
          <w:sz w:val="18"/>
          <w:szCs w:val="18"/>
          <w:lang w:eastAsia="en-US" w:bidi="ar-SA"/>
        </w:rPr>
      </w:pPr>
    </w:p>
    <w:p w:rsidR="00900438" w:rsidRDefault="00076E8A">
      <w:pPr>
        <w:spacing w:line="360" w:lineRule="auto"/>
        <w:jc w:val="both"/>
        <w:rPr>
          <w:rFonts w:ascii="Verdana" w:eastAsia="Verdana" w:hAnsi="Verdana" w:cs="Verdana"/>
          <w:b/>
          <w:bCs/>
          <w:sz w:val="18"/>
          <w:szCs w:val="18"/>
        </w:rPr>
      </w:pPr>
      <w:r>
        <w:rPr>
          <w:rFonts w:ascii="Verdana" w:eastAsia="Verdana" w:hAnsi="Verdana" w:cs="Verdana"/>
          <w:b/>
          <w:bCs/>
          <w:sz w:val="18"/>
          <w:szCs w:val="18"/>
        </w:rPr>
        <w:t>About AMERICAN EXPRESS</w:t>
      </w:r>
    </w:p>
    <w:p w:rsidR="00900438" w:rsidRDefault="00076E8A">
      <w:pPr>
        <w:spacing w:line="200" w:lineRule="atLeast"/>
      </w:pPr>
      <w:hyperlink r:id="rId14">
        <w:r>
          <w:rPr>
            <w:rStyle w:val="InternetLink"/>
            <w:rFonts w:ascii="Verdana" w:eastAsia="Verdana" w:hAnsi="Verdana" w:cs="Verdana"/>
            <w:color w:val="00000A"/>
            <w:sz w:val="18"/>
            <w:szCs w:val="18"/>
            <w:u w:val="none"/>
          </w:rPr>
          <w:t xml:space="preserve">American Express is a globally integrated payments company, providing customers with </w:t>
        </w:r>
        <w:r>
          <w:rPr>
            <w:rStyle w:val="InternetLink"/>
            <w:rFonts w:ascii="Verdana" w:eastAsia="Verdana" w:hAnsi="Verdana" w:cs="Verdana"/>
            <w:color w:val="00000A"/>
            <w:sz w:val="18"/>
            <w:szCs w:val="18"/>
            <w:u w:val="none"/>
          </w:rPr>
          <w:t>access to products, insights and experiences that enrich lives and build business success.  Learn more at americanexpress.com and connect with us, instagram.com/</w:t>
        </w:r>
        <w:proofErr w:type="spellStart"/>
        <w:r>
          <w:rPr>
            <w:rStyle w:val="InternetLink"/>
            <w:rFonts w:ascii="Verdana" w:eastAsia="Verdana" w:hAnsi="Verdana" w:cs="Verdana"/>
            <w:color w:val="00000A"/>
            <w:sz w:val="18"/>
            <w:szCs w:val="18"/>
            <w:u w:val="none"/>
          </w:rPr>
          <w:t>americanexpress</w:t>
        </w:r>
        <w:proofErr w:type="spellEnd"/>
        <w:r>
          <w:rPr>
            <w:rStyle w:val="InternetLink"/>
            <w:rFonts w:ascii="Verdana" w:eastAsia="Verdana" w:hAnsi="Verdana" w:cs="Verdana"/>
            <w:color w:val="00000A"/>
            <w:sz w:val="18"/>
            <w:szCs w:val="18"/>
            <w:u w:val="none"/>
          </w:rPr>
          <w:t>, linkedin.com/company/</w:t>
        </w:r>
        <w:proofErr w:type="spellStart"/>
        <w:r>
          <w:rPr>
            <w:rStyle w:val="InternetLink"/>
            <w:rFonts w:ascii="Verdana" w:eastAsia="Verdana" w:hAnsi="Verdana" w:cs="Verdana"/>
            <w:color w:val="00000A"/>
            <w:sz w:val="18"/>
            <w:szCs w:val="18"/>
            <w:u w:val="none"/>
          </w:rPr>
          <w:t>american</w:t>
        </w:r>
        <w:proofErr w:type="spellEnd"/>
        <w:r>
          <w:rPr>
            <w:rStyle w:val="InternetLink"/>
            <w:rFonts w:ascii="Verdana" w:eastAsia="Verdana" w:hAnsi="Verdana" w:cs="Verdana"/>
            <w:color w:val="00000A"/>
            <w:sz w:val="18"/>
            <w:szCs w:val="18"/>
            <w:u w:val="none"/>
          </w:rPr>
          <w:t>-express, twitter.com/</w:t>
        </w:r>
        <w:proofErr w:type="spellStart"/>
        <w:r>
          <w:rPr>
            <w:rStyle w:val="InternetLink"/>
            <w:rFonts w:ascii="Verdana" w:eastAsia="Verdana" w:hAnsi="Verdana" w:cs="Verdana"/>
            <w:color w:val="00000A"/>
            <w:sz w:val="18"/>
            <w:szCs w:val="18"/>
            <w:u w:val="none"/>
          </w:rPr>
          <w:t>americanexpress</w:t>
        </w:r>
        <w:proofErr w:type="spellEnd"/>
        <w:r>
          <w:rPr>
            <w:rStyle w:val="InternetLink"/>
            <w:rFonts w:ascii="Verdana" w:eastAsia="Verdana" w:hAnsi="Verdana" w:cs="Verdana"/>
            <w:color w:val="00000A"/>
            <w:sz w:val="18"/>
            <w:szCs w:val="18"/>
            <w:u w:val="none"/>
          </w:rPr>
          <w:t>, and youtub</w:t>
        </w:r>
        <w:r>
          <w:rPr>
            <w:rStyle w:val="InternetLink"/>
            <w:rFonts w:ascii="Verdana" w:eastAsia="Verdana" w:hAnsi="Verdana" w:cs="Verdana"/>
            <w:color w:val="00000A"/>
            <w:sz w:val="18"/>
            <w:szCs w:val="18"/>
            <w:u w:val="none"/>
          </w:rPr>
          <w:t>e.com/</w:t>
        </w:r>
        <w:proofErr w:type="spellStart"/>
        <w:r>
          <w:rPr>
            <w:rStyle w:val="InternetLink"/>
            <w:rFonts w:ascii="Verdana" w:eastAsia="Verdana" w:hAnsi="Verdana" w:cs="Verdana"/>
            <w:color w:val="00000A"/>
            <w:sz w:val="18"/>
            <w:szCs w:val="18"/>
            <w:u w:val="none"/>
          </w:rPr>
          <w:t>americanexpress</w:t>
        </w:r>
        <w:proofErr w:type="spellEnd"/>
        <w:r>
          <w:rPr>
            <w:rStyle w:val="InternetLink"/>
            <w:rFonts w:ascii="Verdana" w:eastAsia="Verdana" w:hAnsi="Verdana" w:cs="Verdana"/>
            <w:color w:val="00000A"/>
            <w:sz w:val="18"/>
            <w:szCs w:val="18"/>
            <w:u w:val="none"/>
          </w:rPr>
          <w:t>.</w:t>
        </w:r>
      </w:hyperlink>
    </w:p>
    <w:p w:rsidR="00900438" w:rsidRDefault="00900438">
      <w:pPr>
        <w:spacing w:line="200" w:lineRule="atLeast"/>
        <w:jc w:val="both"/>
        <w:rPr>
          <w:rFonts w:ascii="Verdana" w:hAnsi="Verdana"/>
          <w:sz w:val="18"/>
          <w:szCs w:val="18"/>
        </w:rPr>
      </w:pPr>
    </w:p>
    <w:p w:rsidR="00900438" w:rsidRDefault="00076E8A">
      <w:pPr>
        <w:spacing w:line="200" w:lineRule="atLeast"/>
        <w:jc w:val="both"/>
        <w:rPr>
          <w:rFonts w:ascii="Verdana" w:eastAsia="Verdana" w:hAnsi="Verdana" w:cs="Verdana"/>
          <w:i/>
          <w:iCs/>
          <w:sz w:val="18"/>
          <w:szCs w:val="18"/>
        </w:rPr>
      </w:pPr>
      <w:r>
        <w:rPr>
          <w:rFonts w:ascii="Verdana" w:eastAsia="Verdana" w:hAnsi="Verdana" w:cs="Verdana"/>
          <w:i/>
          <w:iCs/>
          <w:sz w:val="18"/>
          <w:szCs w:val="18"/>
        </w:rPr>
        <w:t>Contact:</w:t>
      </w:r>
    </w:p>
    <w:p w:rsidR="00900438" w:rsidRDefault="00076E8A">
      <w:pPr>
        <w:spacing w:line="200" w:lineRule="atLeast"/>
        <w:jc w:val="both"/>
        <w:rPr>
          <w:rFonts w:ascii="Verdana" w:eastAsia="Verdana" w:hAnsi="Verdana" w:cs="Verdana"/>
          <w:sz w:val="18"/>
          <w:szCs w:val="18"/>
        </w:rPr>
      </w:pPr>
      <w:r>
        <w:rPr>
          <w:rFonts w:ascii="Verdana" w:eastAsia="Verdana" w:hAnsi="Verdana" w:cs="Verdana"/>
          <w:sz w:val="18"/>
          <w:szCs w:val="18"/>
        </w:rPr>
        <w:t>American Express</w:t>
      </w:r>
    </w:p>
    <w:p w:rsidR="00900438" w:rsidRDefault="00076E8A">
      <w:pPr>
        <w:spacing w:line="200" w:lineRule="atLeast"/>
        <w:jc w:val="both"/>
        <w:rPr>
          <w:rFonts w:ascii="Verdana" w:eastAsia="Verdana" w:hAnsi="Verdana" w:cs="Verdana"/>
          <w:sz w:val="18"/>
          <w:szCs w:val="18"/>
        </w:rPr>
      </w:pPr>
      <w:r>
        <w:rPr>
          <w:rFonts w:ascii="Verdana" w:eastAsia="Verdana" w:hAnsi="Verdana" w:cs="Verdana"/>
          <w:sz w:val="18"/>
          <w:szCs w:val="18"/>
        </w:rPr>
        <w:t xml:space="preserve">Michele </w:t>
      </w:r>
      <w:proofErr w:type="spellStart"/>
      <w:r>
        <w:rPr>
          <w:rFonts w:ascii="Verdana" w:eastAsia="Verdana" w:hAnsi="Verdana" w:cs="Verdana"/>
          <w:sz w:val="18"/>
          <w:szCs w:val="18"/>
        </w:rPr>
        <w:t>Batchelor</w:t>
      </w:r>
      <w:proofErr w:type="spellEnd"/>
    </w:p>
    <w:p w:rsidR="00900438" w:rsidRDefault="00076E8A">
      <w:pPr>
        <w:spacing w:line="200" w:lineRule="atLeast"/>
        <w:jc w:val="both"/>
        <w:rPr>
          <w:rFonts w:ascii="Verdana" w:eastAsia="Verdana" w:hAnsi="Verdana" w:cs="Verdana"/>
          <w:sz w:val="18"/>
          <w:szCs w:val="18"/>
        </w:rPr>
      </w:pPr>
      <w:r>
        <w:rPr>
          <w:rFonts w:ascii="Verdana" w:eastAsia="Verdana" w:hAnsi="Verdana" w:cs="Verdana"/>
          <w:sz w:val="18"/>
          <w:szCs w:val="18"/>
        </w:rPr>
        <w:t>Head, Corporate Affairs and Communications, Southeast Asia</w:t>
      </w:r>
    </w:p>
    <w:p w:rsidR="00900438" w:rsidRDefault="00076E8A">
      <w:pPr>
        <w:spacing w:line="200" w:lineRule="atLeast"/>
        <w:jc w:val="both"/>
        <w:rPr>
          <w:rFonts w:ascii="Verdana" w:eastAsia="Verdana" w:hAnsi="Verdana" w:cs="Verdana"/>
          <w:sz w:val="18"/>
          <w:szCs w:val="18"/>
        </w:rPr>
      </w:pPr>
      <w:r>
        <w:rPr>
          <w:rFonts w:ascii="Verdana" w:eastAsia="Verdana" w:hAnsi="Verdana" w:cs="Verdana"/>
          <w:sz w:val="18"/>
          <w:szCs w:val="18"/>
        </w:rPr>
        <w:t xml:space="preserve">Tel: +65 </w:t>
      </w:r>
      <w:r>
        <w:rPr>
          <w:rFonts w:ascii="Verdana" w:eastAsia="Times New Roman" w:hAnsi="Verdana"/>
          <w:sz w:val="18"/>
          <w:szCs w:val="18"/>
        </w:rPr>
        <w:t>6864 9050</w:t>
      </w:r>
      <w:r>
        <w:rPr>
          <w:rFonts w:ascii="BentonSans-Regular" w:eastAsia="Times New Roman" w:hAnsi="BentonSans-Regular"/>
          <w:sz w:val="17"/>
          <w:szCs w:val="17"/>
        </w:rPr>
        <w:t xml:space="preserve"> </w:t>
      </w:r>
    </w:p>
    <w:p w:rsidR="00900438" w:rsidRDefault="00076E8A">
      <w:pPr>
        <w:spacing w:line="200" w:lineRule="atLeast"/>
        <w:jc w:val="both"/>
        <w:rPr>
          <w:rFonts w:ascii="Verdana" w:eastAsia="Verdana" w:hAnsi="Verdana" w:cs="Verdana"/>
          <w:sz w:val="18"/>
          <w:szCs w:val="18"/>
        </w:rPr>
      </w:pPr>
      <w:r>
        <w:rPr>
          <w:rFonts w:ascii="Verdana" w:eastAsia="Verdana" w:hAnsi="Verdana" w:cs="Verdana"/>
          <w:sz w:val="18"/>
          <w:szCs w:val="18"/>
        </w:rPr>
        <w:t xml:space="preserve">Email: Michele.S.Batchelor@aexp.com </w:t>
      </w:r>
    </w:p>
    <w:p w:rsidR="00900438" w:rsidRDefault="00900438">
      <w:pPr>
        <w:widowControl/>
        <w:suppressAutoHyphens w:val="0"/>
        <w:spacing w:line="360" w:lineRule="auto"/>
        <w:jc w:val="both"/>
        <w:rPr>
          <w:rFonts w:ascii="Verdana" w:eastAsia="Times New Roman" w:hAnsi="Verdana" w:cs="Segoe UI"/>
          <w:color w:val="000000"/>
          <w:kern w:val="0"/>
          <w:sz w:val="18"/>
          <w:szCs w:val="18"/>
          <w:lang w:eastAsia="en-US" w:bidi="ar-SA"/>
        </w:rPr>
      </w:pPr>
    </w:p>
    <w:p w:rsidR="00900438" w:rsidRDefault="00900438">
      <w:pPr>
        <w:widowControl/>
        <w:suppressAutoHyphens w:val="0"/>
        <w:spacing w:line="360" w:lineRule="auto"/>
        <w:jc w:val="both"/>
        <w:rPr>
          <w:rFonts w:ascii="Verdana" w:eastAsia="Times New Roman" w:hAnsi="Verdana" w:cs="Segoe UI"/>
          <w:color w:val="000000"/>
          <w:kern w:val="0"/>
          <w:sz w:val="18"/>
          <w:szCs w:val="18"/>
          <w:lang w:eastAsia="en-US" w:bidi="ar-SA"/>
        </w:rPr>
      </w:pPr>
    </w:p>
    <w:p w:rsidR="00900438" w:rsidRDefault="00076E8A">
      <w:pPr>
        <w:jc w:val="center"/>
      </w:pPr>
      <w:r>
        <w:rPr>
          <w:rFonts w:ascii="Verdana" w:hAnsi="Verdana"/>
          <w:sz w:val="18"/>
          <w:szCs w:val="18"/>
        </w:rPr>
        <w:t>* * *</w:t>
      </w:r>
    </w:p>
    <w:p w:rsidR="00900438" w:rsidRDefault="00900438">
      <w:pPr>
        <w:jc w:val="center"/>
        <w:rPr>
          <w:rFonts w:ascii="Verdana" w:hAnsi="Verdana"/>
          <w:sz w:val="18"/>
          <w:szCs w:val="18"/>
        </w:rPr>
      </w:pPr>
    </w:p>
    <w:p w:rsidR="00900438" w:rsidRDefault="00900438">
      <w:pPr>
        <w:jc w:val="center"/>
        <w:rPr>
          <w:rFonts w:ascii="Verdana" w:hAnsi="Verdana"/>
          <w:sz w:val="18"/>
          <w:szCs w:val="18"/>
        </w:rPr>
      </w:pPr>
    </w:p>
    <w:p w:rsidR="00900438" w:rsidRDefault="00900438"/>
    <w:sectPr w:rsidR="00900438">
      <w:footerReference w:type="default" r:id="rId15"/>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8A" w:rsidRDefault="00076E8A">
      <w:r>
        <w:separator/>
      </w:r>
    </w:p>
  </w:endnote>
  <w:endnote w:type="continuationSeparator" w:id="0">
    <w:p w:rsidR="00076E8A" w:rsidRDefault="0007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entonSans-Regular">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38" w:rsidRDefault="00900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8A" w:rsidRDefault="00076E8A">
      <w:r>
        <w:separator/>
      </w:r>
    </w:p>
  </w:footnote>
  <w:footnote w:type="continuationSeparator" w:id="0">
    <w:p w:rsidR="00076E8A" w:rsidRDefault="0007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52608"/>
    <w:multiLevelType w:val="multilevel"/>
    <w:tmpl w:val="990E5BC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BA22D6"/>
    <w:multiLevelType w:val="multilevel"/>
    <w:tmpl w:val="49CEFA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38"/>
    <w:rsid w:val="00076E8A"/>
    <w:rsid w:val="00900438"/>
    <w:rsid w:val="00BC0C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78EF7-A161-4532-931D-A844372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0F"/>
    <w:pPr>
      <w:widowControl w:val="0"/>
      <w:suppressAutoHyphens/>
    </w:pPr>
    <w:rPr>
      <w:rFonts w:ascii="Liberation Serif" w:eastAsia="SimSun" w:hAnsi="Liberation Serif" w:cs="Mangal"/>
      <w:color w:val="00000A"/>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D3B0F"/>
    <w:rPr>
      <w:color w:val="000080"/>
      <w:u w:val="single"/>
    </w:rPr>
  </w:style>
  <w:style w:type="character" w:customStyle="1" w:styleId="BalloonTextChar">
    <w:name w:val="Balloon Text Char"/>
    <w:basedOn w:val="DefaultParagraphFont"/>
    <w:link w:val="BalloonText"/>
    <w:uiPriority w:val="99"/>
    <w:semiHidden/>
    <w:qFormat/>
    <w:rsid w:val="00685F25"/>
    <w:rPr>
      <w:rFonts w:ascii="Times New Roman" w:eastAsia="SimSun" w:hAnsi="Times New Roman" w:cs="Mangal"/>
      <w:kern w:val="2"/>
      <w:sz w:val="18"/>
      <w:szCs w:val="16"/>
      <w:lang w:eastAsia="hi-I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Verdana" w:hAnsi="Verdana" w:cs="Symbol"/>
      <w:sz w:val="1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Verdana" w:hAnsi="Verdana" w:cs="Symbol"/>
      <w:sz w:val="18"/>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Verdana" w:hAnsi="Verdana" w:cs="Symbol"/>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Verdana" w:hAnsi="Verdana" w:cs="Symbol"/>
      <w:sz w:val="18"/>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Verdana" w:hAnsi="Verdana" w:cs="Symbol"/>
      <w:sz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Verdana" w:hAnsi="Verdana" w:cs="Symbol"/>
      <w:sz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Verdana" w:hAnsi="Verdana" w:cs="Symbol"/>
      <w:sz w:val="1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Verdana" w:hAnsi="Verdana" w:cs="Symbol"/>
      <w:sz w:val="1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HeaderChar">
    <w:name w:val="Header Char"/>
    <w:basedOn w:val="DefaultParagraphFont"/>
    <w:link w:val="Header"/>
    <w:uiPriority w:val="99"/>
    <w:qFormat/>
    <w:rsid w:val="00BF562D"/>
    <w:rPr>
      <w:rFonts w:ascii="Liberation Serif" w:eastAsia="SimSun" w:hAnsi="Liberation Serif" w:cs="Mangal"/>
      <w:color w:val="00000A"/>
      <w:kern w:val="2"/>
      <w:sz w:val="24"/>
      <w:szCs w:val="21"/>
      <w:lang w:eastAsia="hi-IN" w:bidi="hi-IN"/>
    </w:rPr>
  </w:style>
  <w:style w:type="character" w:customStyle="1" w:styleId="FooterChar">
    <w:name w:val="Footer Char"/>
    <w:basedOn w:val="DefaultParagraphFont"/>
    <w:link w:val="Footer"/>
    <w:uiPriority w:val="99"/>
    <w:qFormat/>
    <w:rsid w:val="00BF562D"/>
    <w:rPr>
      <w:rFonts w:ascii="Liberation Serif" w:eastAsia="SimSun" w:hAnsi="Liberation Serif" w:cs="Mangal"/>
      <w:color w:val="00000A"/>
      <w:kern w:val="2"/>
      <w:sz w:val="24"/>
      <w:szCs w:val="21"/>
      <w:lang w:eastAsia="hi-IN" w:bidi="hi-IN"/>
    </w:rPr>
  </w:style>
  <w:style w:type="character" w:styleId="CommentReference">
    <w:name w:val="annotation reference"/>
    <w:basedOn w:val="DefaultParagraphFont"/>
    <w:uiPriority w:val="99"/>
    <w:semiHidden/>
    <w:unhideWhenUsed/>
    <w:qFormat/>
    <w:rsid w:val="00BF562D"/>
    <w:rPr>
      <w:sz w:val="16"/>
      <w:szCs w:val="16"/>
    </w:rPr>
  </w:style>
  <w:style w:type="character" w:customStyle="1" w:styleId="CommentTextChar">
    <w:name w:val="Comment Text Char"/>
    <w:basedOn w:val="DefaultParagraphFont"/>
    <w:link w:val="CommentText"/>
    <w:uiPriority w:val="99"/>
    <w:semiHidden/>
    <w:qFormat/>
    <w:rsid w:val="00BF562D"/>
    <w:rPr>
      <w:rFonts w:ascii="Liberation Serif" w:eastAsia="SimSun" w:hAnsi="Liberation Serif" w:cs="Mangal"/>
      <w:color w:val="00000A"/>
      <w:kern w:val="2"/>
      <w:szCs w:val="18"/>
      <w:lang w:eastAsia="hi-IN" w:bidi="hi-IN"/>
    </w:rPr>
  </w:style>
  <w:style w:type="character" w:customStyle="1" w:styleId="CommentSubjectChar">
    <w:name w:val="Comment Subject Char"/>
    <w:basedOn w:val="CommentTextChar"/>
    <w:link w:val="CommentSubject"/>
    <w:uiPriority w:val="99"/>
    <w:semiHidden/>
    <w:qFormat/>
    <w:rsid w:val="00BF562D"/>
    <w:rPr>
      <w:rFonts w:ascii="Liberation Serif" w:eastAsia="SimSun" w:hAnsi="Liberation Serif" w:cs="Mangal"/>
      <w:b/>
      <w:bCs/>
      <w:color w:val="00000A"/>
      <w:kern w:val="2"/>
      <w:szCs w:val="18"/>
      <w:lang w:eastAsia="hi-IN" w:bidi="hi-IN"/>
    </w:rPr>
  </w:style>
  <w:style w:type="character" w:customStyle="1" w:styleId="ListLabel76">
    <w:name w:val="ListLabel 76"/>
    <w:qFormat/>
    <w:rPr>
      <w:rFonts w:ascii="Verdana" w:hAnsi="Verdana" w:cs="Symbol"/>
      <w:sz w:val="18"/>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Verdana" w:hAnsi="Verdana" w:cs="Symbol"/>
      <w:sz w:val="1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Verdana" w:hAnsi="Verdana" w:cs="Symbol"/>
      <w:sz w:val="1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Verdana" w:hAnsi="Verdana" w:cs="Symbol"/>
      <w:sz w:val="1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Verdana" w:hAnsi="Verdana" w:cs="Symbol"/>
      <w:sz w:val="1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85F25"/>
    <w:rPr>
      <w:rFonts w:ascii="Times New Roman" w:hAnsi="Times New Roman"/>
      <w:sz w:val="18"/>
      <w:szCs w:val="16"/>
    </w:rPr>
  </w:style>
  <w:style w:type="paragraph" w:styleId="ListParagraph">
    <w:name w:val="List Paragraph"/>
    <w:basedOn w:val="Normal"/>
    <w:uiPriority w:val="34"/>
    <w:qFormat/>
    <w:rsid w:val="00E423F3"/>
    <w:pPr>
      <w:ind w:left="720"/>
      <w:contextualSpacing/>
    </w:pPr>
    <w:rPr>
      <w:szCs w:val="21"/>
    </w:rPr>
  </w:style>
  <w:style w:type="paragraph" w:styleId="Header">
    <w:name w:val="header"/>
    <w:basedOn w:val="Normal"/>
    <w:link w:val="HeaderChar"/>
    <w:uiPriority w:val="99"/>
    <w:unhideWhenUsed/>
    <w:rsid w:val="00BF562D"/>
    <w:pPr>
      <w:tabs>
        <w:tab w:val="center" w:pos="4680"/>
        <w:tab w:val="right" w:pos="9360"/>
      </w:tabs>
    </w:pPr>
    <w:rPr>
      <w:szCs w:val="21"/>
    </w:rPr>
  </w:style>
  <w:style w:type="paragraph" w:styleId="Footer">
    <w:name w:val="footer"/>
    <w:basedOn w:val="Normal"/>
    <w:link w:val="FooterChar"/>
    <w:uiPriority w:val="99"/>
    <w:unhideWhenUsed/>
    <w:rsid w:val="00BF562D"/>
    <w:pPr>
      <w:tabs>
        <w:tab w:val="center" w:pos="4680"/>
        <w:tab w:val="right" w:pos="9360"/>
      </w:tabs>
    </w:pPr>
    <w:rPr>
      <w:szCs w:val="21"/>
    </w:rPr>
  </w:style>
  <w:style w:type="paragraph" w:styleId="CommentText">
    <w:name w:val="annotation text"/>
    <w:basedOn w:val="Normal"/>
    <w:link w:val="CommentTextChar"/>
    <w:uiPriority w:val="99"/>
    <w:semiHidden/>
    <w:unhideWhenUsed/>
    <w:qFormat/>
    <w:rsid w:val="00BF562D"/>
    <w:rPr>
      <w:sz w:val="20"/>
      <w:szCs w:val="18"/>
    </w:rPr>
  </w:style>
  <w:style w:type="paragraph" w:styleId="CommentSubject">
    <w:name w:val="annotation subject"/>
    <w:basedOn w:val="CommentText"/>
    <w:link w:val="CommentSubjectChar"/>
    <w:uiPriority w:val="99"/>
    <w:semiHidden/>
    <w:unhideWhenUsed/>
    <w:qFormat/>
    <w:rsid w:val="00BF562D"/>
    <w:rPr>
      <w:b/>
      <w:bCs/>
    </w:rPr>
  </w:style>
  <w:style w:type="paragraph" w:styleId="Revision">
    <w:name w:val="Revision"/>
    <w:uiPriority w:val="99"/>
    <w:semiHidden/>
    <w:qFormat/>
    <w:rsid w:val="00D72DEF"/>
    <w:rPr>
      <w:rFonts w:ascii="Liberation Serif" w:eastAsia="SimSun" w:hAnsi="Liberation Serif" w:cs="Mangal"/>
      <w:color w:val="00000A"/>
      <w:kern w:val="2"/>
      <w:sz w:val="24"/>
      <w:szCs w:val="21"/>
      <w:lang w:eastAsia="hi-IN" w:bidi="hi-IN"/>
    </w:rPr>
  </w:style>
  <w:style w:type="paragraph" w:customStyle="1" w:styleId="FrameContents">
    <w:name w:val="Frame Contents"/>
    <w:basedOn w:val="Normal"/>
    <w:qFormat/>
  </w:style>
  <w:style w:type="paragraph" w:styleId="NoSpacing">
    <w:name w:val="No Spacing"/>
    <w:qFormat/>
    <w:pPr>
      <w:widowControl w:val="0"/>
      <w:suppressAutoHyphens/>
    </w:pPr>
    <w:rPr>
      <w:rFonts w:cs="F"/>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tajes.liza@bdo.com.p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tajes.liza@bd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335518909454485F591C8C73E5CED" ma:contentTypeVersion="11" ma:contentTypeDescription="Create a new document." ma:contentTypeScope="" ma:versionID="b8ec3637e97c5d3a374bebd2f62f6239">
  <xsd:schema xmlns:xsd="http://www.w3.org/2001/XMLSchema" xmlns:xs="http://www.w3.org/2001/XMLSchema" xmlns:p="http://schemas.microsoft.com/office/2006/metadata/properties" xmlns:ns3="a342bfe9-667b-4fc6-abd1-7a4759e22062" targetNamespace="http://schemas.microsoft.com/office/2006/metadata/properties" ma:root="true" ma:fieldsID="c94af00c55b8ba9ee190c03034cae71e" ns3:_="">
    <xsd:import namespace="a342bfe9-667b-4fc6-abd1-7a4759e220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2bfe9-667b-4fc6-abd1-7a4759e22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4D60-CF3E-452F-AE2D-4BB36B9D0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201DFB-EA80-4FCC-AAE2-F6D36CA36F43}">
  <ds:schemaRefs>
    <ds:schemaRef ds:uri="http://schemas.microsoft.com/sharepoint/v3/contenttype/forms"/>
  </ds:schemaRefs>
</ds:datastoreItem>
</file>

<file path=customXml/itemProps3.xml><?xml version="1.0" encoding="utf-8"?>
<ds:datastoreItem xmlns:ds="http://schemas.openxmlformats.org/officeDocument/2006/customXml" ds:itemID="{ECE014A6-FB54-4ED2-87F4-1168278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2bfe9-667b-4fc6-abd1-7a4759e2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4428D-A671-4C55-B593-25B187EF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BDO Unibank</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Christine B. Vida</dc:creator>
  <dc:description/>
  <cp:lastModifiedBy>Carlo Leo C. Manuel</cp:lastModifiedBy>
  <cp:revision>2</cp:revision>
  <dcterms:created xsi:type="dcterms:W3CDTF">2021-07-23T01:51:00Z</dcterms:created>
  <dcterms:modified xsi:type="dcterms:W3CDTF">2021-07-23T01:51:00Z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Adrian Kaan</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AppVersion">
    <vt:lpwstr>16.0000</vt:lpwstr>
  </property>
  <property fmtid="{D5CDD505-2E9C-101B-9397-08002B2CF9AE}" pid="6" name="Company">
    <vt:lpwstr>BDO Unibank</vt:lpwstr>
  </property>
  <property fmtid="{D5CDD505-2E9C-101B-9397-08002B2CF9AE}" pid="7" name="ContentTypeId">
    <vt:lpwstr>0x010100CE3335518909454485F591C8C73E5CED</vt:lpwstr>
  </property>
  <property fmtid="{D5CDD505-2E9C-101B-9397-08002B2CF9AE}" pid="8" name="DocSecurity">
    <vt:i4>0</vt:i4>
  </property>
  <property fmtid="{D5CDD505-2E9C-101B-9397-08002B2CF9AE}" pid="9" name="HyperlinksChanged">
    <vt:bool>false</vt:bool>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